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D8" w:rsidRPr="00191F0E" w:rsidRDefault="00CB01D8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191F0E">
        <w:rPr>
          <w:rFonts w:ascii="Cambria Math" w:hAnsi="Cambria Math"/>
          <w:b/>
          <w:sz w:val="28"/>
          <w:szCs w:val="28"/>
        </w:rPr>
        <w:t>MPM 2D1</w:t>
      </w:r>
    </w:p>
    <w:p w:rsidR="00CB01D8" w:rsidRPr="00191F0E" w:rsidRDefault="00CB01D8" w:rsidP="00CB01D8">
      <w:pPr>
        <w:jc w:val="center"/>
        <w:rPr>
          <w:rFonts w:ascii="Cambria Math" w:hAnsi="Cambria Math"/>
          <w:b/>
          <w:sz w:val="28"/>
          <w:szCs w:val="28"/>
        </w:rPr>
      </w:pPr>
      <w:r w:rsidRPr="00191F0E">
        <w:rPr>
          <w:rFonts w:ascii="Cambria Math" w:hAnsi="Cambria Math"/>
          <w:b/>
          <w:sz w:val="28"/>
          <w:szCs w:val="28"/>
        </w:rPr>
        <w:t>Chap</w:t>
      </w:r>
      <w:r w:rsidR="00823B88" w:rsidRPr="00191F0E">
        <w:rPr>
          <w:rFonts w:ascii="Cambria Math" w:hAnsi="Cambria Math"/>
          <w:b/>
          <w:sz w:val="28"/>
          <w:szCs w:val="28"/>
        </w:rPr>
        <w:t>itre</w:t>
      </w:r>
      <w:r w:rsidRPr="00191F0E">
        <w:rPr>
          <w:rFonts w:ascii="Cambria Math" w:hAnsi="Cambria Math"/>
          <w:b/>
          <w:sz w:val="28"/>
          <w:szCs w:val="28"/>
        </w:rPr>
        <w:t xml:space="preserve"> </w:t>
      </w:r>
      <w:r w:rsidR="001F0BCA" w:rsidRPr="00191F0E">
        <w:rPr>
          <w:rFonts w:ascii="Cambria Math" w:hAnsi="Cambria Math"/>
          <w:b/>
          <w:sz w:val="28"/>
          <w:szCs w:val="28"/>
        </w:rPr>
        <w:t xml:space="preserve">4 – </w:t>
      </w:r>
      <w:r w:rsidR="00122B8D" w:rsidRPr="00191F0E">
        <w:rPr>
          <w:rFonts w:ascii="Cambria Math" w:hAnsi="Cambria Math"/>
          <w:b/>
          <w:sz w:val="28"/>
          <w:szCs w:val="28"/>
        </w:rPr>
        <w:t>Les fonctions du second degré</w:t>
      </w:r>
    </w:p>
    <w:p w:rsidR="00122B8D" w:rsidRPr="00191F0E" w:rsidRDefault="00122B8D" w:rsidP="00122B8D">
      <w:pPr>
        <w:rPr>
          <w:rFonts w:ascii="Cambria Math" w:hAnsi="Cambria Math"/>
          <w:b/>
          <w:sz w:val="28"/>
          <w:szCs w:val="28"/>
        </w:rPr>
      </w:pPr>
    </w:p>
    <w:p w:rsidR="00122B8D" w:rsidRPr="00191F0E" w:rsidRDefault="00191F0E" w:rsidP="00122B8D">
      <w:pPr>
        <w:rPr>
          <w:rFonts w:ascii="Cambria Math" w:hAnsi="Cambria Math"/>
        </w:rPr>
      </w:pPr>
      <w:r w:rsidRPr="00191F0E">
        <w:rPr>
          <w:rFonts w:ascii="Cambria Math" w:hAnsi="Cambria Math"/>
        </w:rPr>
        <w:t>À</w:t>
      </w:r>
      <w:r w:rsidR="00122B8D" w:rsidRPr="00191F0E">
        <w:rPr>
          <w:rFonts w:ascii="Cambria Math" w:hAnsi="Cambria Math"/>
        </w:rPr>
        <w:t xml:space="preserve"> la fin de ce chapitre les étudiants doivent pouvoir:</w:t>
      </w:r>
    </w:p>
    <w:p w:rsidR="001F0BCA" w:rsidRPr="00191F0E" w:rsidRDefault="00BD2755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Utilise</w:t>
      </w:r>
      <w:r w:rsidR="00191F0E" w:rsidRPr="00191F0E">
        <w:rPr>
          <w:rFonts w:ascii="Cambria Math" w:hAnsi="Cambria Math"/>
        </w:rPr>
        <w:t>r</w:t>
      </w:r>
      <w:r w:rsidRPr="00191F0E">
        <w:rPr>
          <w:rFonts w:ascii="Cambria Math" w:hAnsi="Cambria Math"/>
        </w:rPr>
        <w:t xml:space="preserve"> les points pour représenter graphiquement une fonction du second degré et esquisse la parabole la mieux ajustée</w:t>
      </w:r>
    </w:p>
    <w:p w:rsidR="001F0BCA" w:rsidRPr="00191F0E" w:rsidRDefault="00122B8D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D</w:t>
      </w:r>
      <w:r w:rsidR="00BD2755" w:rsidRPr="00191F0E">
        <w:rPr>
          <w:rFonts w:ascii="Cambria Math" w:hAnsi="Cambria Math"/>
        </w:rPr>
        <w:t>étermine</w:t>
      </w:r>
      <w:r w:rsidR="00191F0E" w:rsidRPr="00191F0E">
        <w:rPr>
          <w:rFonts w:ascii="Cambria Math" w:hAnsi="Cambria Math"/>
        </w:rPr>
        <w:t>r</w:t>
      </w:r>
      <w:r w:rsidR="00BD2755" w:rsidRPr="00191F0E">
        <w:rPr>
          <w:rFonts w:ascii="Cambria Math" w:hAnsi="Cambria Math"/>
        </w:rPr>
        <w:t xml:space="preserve"> par exploration qu’</w:t>
      </w:r>
      <w:r w:rsidRPr="00191F0E">
        <w:rPr>
          <w:rFonts w:ascii="Cambria Math" w:hAnsi="Cambria Math"/>
        </w:rPr>
        <w:t xml:space="preserve">une relation de la forme </w:t>
      </w:r>
      <w:r w:rsidR="001F0BCA" w:rsidRPr="00191F0E">
        <w:rPr>
          <w:rFonts w:ascii="Cambria Math" w:hAnsi="Cambria Math"/>
          <w:position w:val="-10"/>
        </w:rPr>
        <w:object w:dxaOrig="2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18pt" o:ole="">
            <v:imagedata r:id="rId6" o:title=""/>
          </v:shape>
          <o:OLEObject Type="Embed" ProgID="Equation.3" ShapeID="_x0000_i1025" DrawAspect="Content" ObjectID="_1470588320" r:id="rId7"/>
        </w:object>
      </w:r>
      <w:r w:rsidR="00191F0E" w:rsidRPr="00191F0E">
        <w:rPr>
          <w:rFonts w:ascii="Cambria Math" w:hAnsi="Cambria Math"/>
        </w:rPr>
        <w:t xml:space="preserve"> est représentée</w:t>
      </w:r>
      <w:r w:rsidRPr="00191F0E">
        <w:rPr>
          <w:rFonts w:ascii="Cambria Math" w:hAnsi="Cambria Math"/>
        </w:rPr>
        <w:t xml:space="preserve"> graphiquement par une parabole and la table de valeurs donne une deuxième différence constante</w:t>
      </w:r>
    </w:p>
    <w:p w:rsidR="001F0BCA" w:rsidRPr="00191F0E" w:rsidRDefault="00122B8D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Identifie</w:t>
      </w:r>
      <w:r w:rsidR="00191F0E" w:rsidRPr="00191F0E">
        <w:rPr>
          <w:rFonts w:ascii="Cambria Math" w:hAnsi="Cambria Math"/>
        </w:rPr>
        <w:t>r</w:t>
      </w:r>
      <w:r w:rsidRPr="00191F0E">
        <w:rPr>
          <w:rFonts w:ascii="Cambria Math" w:hAnsi="Cambria Math"/>
        </w:rPr>
        <w:t xml:space="preserve"> les caractéristiques du graphique d’une parabole</w:t>
      </w:r>
    </w:p>
    <w:p w:rsidR="001F0BCA" w:rsidRPr="00191F0E" w:rsidRDefault="00122B8D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Identifie</w:t>
      </w:r>
      <w:r w:rsidR="00191F0E" w:rsidRPr="00191F0E">
        <w:rPr>
          <w:rFonts w:ascii="Cambria Math" w:hAnsi="Cambria Math"/>
        </w:rPr>
        <w:t>r</w:t>
      </w:r>
      <w:r w:rsidRPr="00191F0E">
        <w:rPr>
          <w:rFonts w:ascii="Cambria Math" w:hAnsi="Cambria Math"/>
        </w:rPr>
        <w:t xml:space="preserve"> par exploration l’effet des transformations du graphique de </w:t>
      </w:r>
      <w:r w:rsidR="001F0BCA" w:rsidRPr="00191F0E">
        <w:rPr>
          <w:rFonts w:ascii="Cambria Math" w:hAnsi="Cambria Math"/>
          <w:position w:val="-10"/>
        </w:rPr>
        <w:object w:dxaOrig="680" w:dyaOrig="360">
          <v:shape id="_x0000_i1026" type="#_x0000_t75" style="width:33.75pt;height:18pt" o:ole="">
            <v:imagedata r:id="rId8" o:title=""/>
          </v:shape>
          <o:OLEObject Type="Embed" ProgID="Equation.3" ShapeID="_x0000_i1026" DrawAspect="Content" ObjectID="_1470588321" r:id="rId9"/>
        </w:object>
      </w:r>
      <w:r w:rsidRPr="00191F0E">
        <w:rPr>
          <w:rFonts w:ascii="Cambria Math" w:hAnsi="Cambria Math"/>
        </w:rPr>
        <w:t xml:space="preserve">; explique la fonctionne de </w:t>
      </w:r>
      <w:r w:rsidR="001F0BCA" w:rsidRPr="00191F0E">
        <w:rPr>
          <w:rFonts w:ascii="Cambria Math" w:hAnsi="Cambria Math"/>
        </w:rPr>
        <w:t xml:space="preserve">a, h, </w:t>
      </w:r>
      <w:r w:rsidRPr="00191F0E">
        <w:rPr>
          <w:rFonts w:ascii="Cambria Math" w:hAnsi="Cambria Math"/>
        </w:rPr>
        <w:t>et</w:t>
      </w:r>
      <w:r w:rsidR="001F0BCA" w:rsidRPr="00191F0E">
        <w:rPr>
          <w:rFonts w:ascii="Cambria Math" w:hAnsi="Cambria Math"/>
        </w:rPr>
        <w:t xml:space="preserve"> k </w:t>
      </w:r>
      <w:r w:rsidRPr="00191F0E">
        <w:rPr>
          <w:rFonts w:ascii="Cambria Math" w:hAnsi="Cambria Math"/>
        </w:rPr>
        <w:t>dans</w:t>
      </w:r>
      <w:r w:rsidR="001F0BCA" w:rsidRPr="00191F0E">
        <w:rPr>
          <w:rFonts w:ascii="Cambria Math" w:hAnsi="Cambria Math"/>
          <w:position w:val="-10"/>
        </w:rPr>
        <w:object w:dxaOrig="1719" w:dyaOrig="380">
          <v:shape id="_x0000_i1027" type="#_x0000_t75" style="width:86.25pt;height:18.75pt" o:ole="">
            <v:imagedata r:id="rId10" o:title=""/>
          </v:shape>
          <o:OLEObject Type="Embed" ProgID="Equation.3" ShapeID="_x0000_i1027" DrawAspect="Content" ObjectID="_1470588322" r:id="rId11"/>
        </w:object>
      </w:r>
      <w:r w:rsidR="001F0BCA" w:rsidRPr="00191F0E">
        <w:rPr>
          <w:rFonts w:ascii="Cambria Math" w:hAnsi="Cambria Math"/>
        </w:rPr>
        <w:t xml:space="preserve">, </w:t>
      </w:r>
      <w:r w:rsidRPr="00191F0E">
        <w:rPr>
          <w:rFonts w:ascii="Cambria Math" w:hAnsi="Cambria Math"/>
        </w:rPr>
        <w:t>et identifie le sommet</w:t>
      </w:r>
      <w:r w:rsidR="00191F0E" w:rsidRPr="00191F0E">
        <w:rPr>
          <w:rFonts w:ascii="Cambria Math" w:hAnsi="Cambria Math"/>
        </w:rPr>
        <w:t xml:space="preserve"> et</w:t>
      </w:r>
      <w:r w:rsidRPr="00191F0E">
        <w:rPr>
          <w:rFonts w:ascii="Cambria Math" w:hAnsi="Cambria Math"/>
        </w:rPr>
        <w:t xml:space="preserve"> l’équation de l’axe de symétrie</w:t>
      </w:r>
    </w:p>
    <w:p w:rsidR="001F0BCA" w:rsidRPr="00191F0E" w:rsidRDefault="00BD2755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Esquisse</w:t>
      </w:r>
      <w:r w:rsidR="00191F0E" w:rsidRPr="00191F0E">
        <w:rPr>
          <w:rFonts w:ascii="Cambria Math" w:hAnsi="Cambria Math"/>
        </w:rPr>
        <w:t>r</w:t>
      </w:r>
      <w:r w:rsidRPr="00191F0E">
        <w:rPr>
          <w:rFonts w:ascii="Cambria Math" w:hAnsi="Cambria Math"/>
        </w:rPr>
        <w:t xml:space="preserve"> le graphique de </w:t>
      </w:r>
      <w:r w:rsidR="001F0BCA" w:rsidRPr="00191F0E">
        <w:rPr>
          <w:rFonts w:ascii="Cambria Math" w:hAnsi="Cambria Math"/>
          <w:position w:val="-10"/>
        </w:rPr>
        <w:object w:dxaOrig="1719" w:dyaOrig="380">
          <v:shape id="_x0000_i1028" type="#_x0000_t75" style="width:86.25pt;height:18.75pt" o:ole="">
            <v:imagedata r:id="rId10" o:title=""/>
          </v:shape>
          <o:OLEObject Type="Embed" ProgID="Equation.3" ShapeID="_x0000_i1028" DrawAspect="Content" ObjectID="_1470588323" r:id="rId12"/>
        </w:object>
      </w:r>
      <w:r w:rsidR="001F0BCA" w:rsidRPr="00191F0E">
        <w:rPr>
          <w:rFonts w:ascii="Cambria Math" w:hAnsi="Cambria Math"/>
        </w:rPr>
        <w:t xml:space="preserve"> </w:t>
      </w:r>
      <w:r w:rsidRPr="00191F0E">
        <w:rPr>
          <w:rFonts w:ascii="Cambria Math" w:hAnsi="Cambria Math"/>
        </w:rPr>
        <w:t>en utilisant les transformations de</w:t>
      </w:r>
      <w:r w:rsidR="001F0BCA" w:rsidRPr="00191F0E">
        <w:rPr>
          <w:rFonts w:ascii="Cambria Math" w:hAnsi="Cambria Math"/>
          <w:position w:val="-10"/>
        </w:rPr>
        <w:object w:dxaOrig="680" w:dyaOrig="360">
          <v:shape id="_x0000_i1029" type="#_x0000_t75" style="width:33.75pt;height:18pt" o:ole="">
            <v:imagedata r:id="rId8" o:title=""/>
          </v:shape>
          <o:OLEObject Type="Embed" ProgID="Equation.3" ShapeID="_x0000_i1029" DrawAspect="Content" ObjectID="_1470588324" r:id="rId13"/>
        </w:object>
      </w:r>
    </w:p>
    <w:p w:rsidR="001F0BCA" w:rsidRPr="00191F0E" w:rsidRDefault="00BD2755" w:rsidP="00312187">
      <w:pPr>
        <w:numPr>
          <w:ilvl w:val="0"/>
          <w:numId w:val="5"/>
        </w:numPr>
        <w:tabs>
          <w:tab w:val="clear" w:pos="720"/>
        </w:tabs>
        <w:ind w:left="426" w:right="-291"/>
        <w:rPr>
          <w:rFonts w:ascii="Cambria Math" w:hAnsi="Cambria Math"/>
        </w:rPr>
      </w:pPr>
      <w:r w:rsidRPr="00191F0E">
        <w:rPr>
          <w:rFonts w:ascii="Cambria Math" w:hAnsi="Cambria Math"/>
        </w:rPr>
        <w:t>Dé</w:t>
      </w:r>
      <w:r w:rsidR="001F0BCA" w:rsidRPr="00191F0E">
        <w:rPr>
          <w:rFonts w:ascii="Cambria Math" w:hAnsi="Cambria Math"/>
        </w:rPr>
        <w:t>termine</w:t>
      </w:r>
      <w:r w:rsidR="00191F0E" w:rsidRPr="00191F0E">
        <w:rPr>
          <w:rFonts w:ascii="Cambria Math" w:hAnsi="Cambria Math"/>
        </w:rPr>
        <w:t>r</w:t>
      </w:r>
      <w:r w:rsidR="001F0BCA" w:rsidRPr="00191F0E">
        <w:rPr>
          <w:rFonts w:ascii="Cambria Math" w:hAnsi="Cambria Math"/>
        </w:rPr>
        <w:t xml:space="preserve"> </w:t>
      </w:r>
      <w:r w:rsidRPr="00191F0E">
        <w:rPr>
          <w:rFonts w:ascii="Cambria Math" w:hAnsi="Cambria Math"/>
        </w:rPr>
        <w:t>l’é</w:t>
      </w:r>
      <w:r w:rsidR="001F0BCA" w:rsidRPr="00191F0E">
        <w:rPr>
          <w:rFonts w:ascii="Cambria Math" w:hAnsi="Cambria Math"/>
        </w:rPr>
        <w:t>quation</w:t>
      </w:r>
      <w:r w:rsidRPr="00191F0E">
        <w:rPr>
          <w:rFonts w:ascii="Cambria Math" w:hAnsi="Cambria Math"/>
        </w:rPr>
        <w:t xml:space="preserve"> de la forme </w:t>
      </w:r>
      <w:r w:rsidR="001F0BCA" w:rsidRPr="00191F0E">
        <w:rPr>
          <w:rFonts w:ascii="Cambria Math" w:hAnsi="Cambria Math"/>
          <w:position w:val="-10"/>
        </w:rPr>
        <w:object w:dxaOrig="1719" w:dyaOrig="380">
          <v:shape id="_x0000_i1030" type="#_x0000_t75" style="width:86.25pt;height:18.75pt" o:ole="">
            <v:imagedata r:id="rId10" o:title=""/>
          </v:shape>
          <o:OLEObject Type="Embed" ProgID="Equation.3" ShapeID="_x0000_i1030" DrawAspect="Content" ObjectID="_1470588325" r:id="rId14"/>
        </w:object>
      </w:r>
      <w:r w:rsidRPr="00191F0E">
        <w:rPr>
          <w:rFonts w:ascii="Cambria Math" w:hAnsi="Cambria Math"/>
        </w:rPr>
        <w:t xml:space="preserve"> du graphique d’une parabole</w:t>
      </w:r>
    </w:p>
    <w:p w:rsidR="00CB01D8" w:rsidRPr="00191F0E" w:rsidRDefault="00CB01D8" w:rsidP="00CB01D8">
      <w:pPr>
        <w:rPr>
          <w:rFonts w:ascii="Cambria Math" w:hAnsi="Cambria Math"/>
        </w:rPr>
      </w:pPr>
    </w:p>
    <w:p w:rsidR="00CB01D8" w:rsidRPr="00191F0E" w:rsidRDefault="00191F0E" w:rsidP="00CB01D8">
      <w:pPr>
        <w:rPr>
          <w:rFonts w:ascii="Cambria Math" w:hAnsi="Cambria Math"/>
          <w:b/>
          <w:sz w:val="28"/>
          <w:szCs w:val="28"/>
        </w:rPr>
      </w:pPr>
      <w:r w:rsidRPr="00191F0E">
        <w:rPr>
          <w:rFonts w:ascii="Cambria Math" w:hAnsi="Cambria Math"/>
          <w:b/>
          <w:sz w:val="28"/>
          <w:szCs w:val="28"/>
        </w:rPr>
        <w:t>Chapitre 4</w:t>
      </w:r>
    </w:p>
    <w:tbl>
      <w:tblPr>
        <w:tblW w:w="7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3191"/>
        <w:gridCol w:w="3300"/>
      </w:tblGrid>
      <w:tr w:rsidR="000011AA" w:rsidRPr="00191F0E" w:rsidTr="000011AA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0571EF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Section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0571EF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Sujet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0571EF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Questions de pratique</w:t>
            </w: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CE02A7" w:rsidP="001F0BCA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Introduction aux paraboles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 xml:space="preserve">Exploration: Les transformations dans un plan cartésien 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E932BA">
            <w:pPr>
              <w:jc w:val="center"/>
              <w:rPr>
                <w:rFonts w:ascii="Cambria Math" w:hAnsi="Cambria Math"/>
              </w:rPr>
            </w:pP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4.2</w:t>
            </w:r>
          </w:p>
          <w:p w:rsidR="000011AA" w:rsidRPr="00191F0E" w:rsidRDefault="000011AA" w:rsidP="00850863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(2 jours)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BD2755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 xml:space="preserve">La représentation graphique </w:t>
            </w:r>
            <w:proofErr w:type="gramStart"/>
            <w:r w:rsidRPr="00191F0E">
              <w:rPr>
                <w:rFonts w:ascii="Cambria Math" w:hAnsi="Cambria Math"/>
              </w:rPr>
              <w:t xml:space="preserve">de </w:t>
            </w:r>
            <w:proofErr w:type="gramEnd"/>
            <w:r w:rsidRPr="00191F0E">
              <w:rPr>
                <w:rFonts w:ascii="Cambria Math" w:hAnsi="Cambria Math"/>
                <w:position w:val="-10"/>
              </w:rPr>
              <w:object w:dxaOrig="1080" w:dyaOrig="360">
                <v:shape id="_x0000_i1031" type="#_x0000_t75" style="width:54pt;height:18pt" o:ole="">
                  <v:imagedata r:id="rId15" o:title=""/>
                </v:shape>
                <o:OLEObject Type="Embed" ProgID="Equation.3" ShapeID="_x0000_i1031" DrawAspect="Content" ObjectID="_1470588326" r:id="rId16"/>
              </w:object>
            </w:r>
            <w:r w:rsidRPr="00191F0E">
              <w:rPr>
                <w:rFonts w:ascii="Cambria Math" w:hAnsi="Cambria Math"/>
              </w:rPr>
              <w:t xml:space="preserve">, </w:t>
            </w:r>
            <w:r w:rsidRPr="00191F0E">
              <w:rPr>
                <w:rFonts w:ascii="Cambria Math" w:hAnsi="Cambria Math"/>
                <w:position w:val="-10"/>
              </w:rPr>
              <w:object w:dxaOrig="780" w:dyaOrig="360">
                <v:shape id="_x0000_i1032" type="#_x0000_t75" style="width:39pt;height:18pt" o:ole="">
                  <v:imagedata r:id="rId17" o:title=""/>
                </v:shape>
                <o:OLEObject Type="Embed" ProgID="Equation.3" ShapeID="_x0000_i1032" DrawAspect="Content" ObjectID="_1470588327" r:id="rId18"/>
              </w:object>
            </w:r>
            <w:r w:rsidRPr="00191F0E">
              <w:rPr>
                <w:rFonts w:ascii="Cambria Math" w:hAnsi="Cambria Math"/>
              </w:rPr>
              <w:t xml:space="preserve">, et </w:t>
            </w:r>
            <w:r w:rsidRPr="00191F0E">
              <w:rPr>
                <w:rFonts w:ascii="Cambria Math" w:hAnsi="Cambria Math"/>
                <w:position w:val="-10"/>
              </w:rPr>
              <w:object w:dxaOrig="1180" w:dyaOrig="360">
                <v:shape id="_x0000_i1033" type="#_x0000_t75" style="width:59.25pt;height:18pt" o:ole="">
                  <v:imagedata r:id="rId19" o:title=""/>
                </v:shape>
                <o:OLEObject Type="Embed" ProgID="Equation.3" ShapeID="_x0000_i1033" DrawAspect="Content" ObjectID="_1470588328" r:id="rId20"/>
              </w:objec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E932B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#1 – 5</w:t>
            </w: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4.3</w:t>
            </w:r>
          </w:p>
          <w:p w:rsidR="000011AA" w:rsidRPr="00191F0E" w:rsidRDefault="000011AA" w:rsidP="00850863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(2 jours)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 xml:space="preserve">La représentation graphique de </w:t>
            </w:r>
            <w:r w:rsidRPr="00191F0E">
              <w:rPr>
                <w:rFonts w:ascii="Cambria Math" w:hAnsi="Cambria Math"/>
                <w:position w:val="-10"/>
              </w:rPr>
              <w:object w:dxaOrig="1719" w:dyaOrig="380">
                <v:shape id="_x0000_i1034" type="#_x0000_t75" style="width:86.25pt;height:18.75pt" o:ole="">
                  <v:imagedata r:id="rId10" o:title=""/>
                </v:shape>
                <o:OLEObject Type="Embed" ProgID="Equation.3" ShapeID="_x0000_i1034" DrawAspect="Content" ObjectID="_1470588329" r:id="rId21"/>
              </w:objec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BD15F8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#1 – 5</w:t>
            </w: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4.4</w:t>
            </w:r>
          </w:p>
          <w:p w:rsidR="000011AA" w:rsidRPr="00191F0E" w:rsidRDefault="000011AA" w:rsidP="00850863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(2 jours)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BD2755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 xml:space="preserve">La représentation graphique de </w:t>
            </w:r>
            <w:r w:rsidRPr="00191F0E">
              <w:rPr>
                <w:rFonts w:ascii="Cambria Math" w:hAnsi="Cambria Math"/>
                <w:position w:val="-10"/>
              </w:rPr>
              <w:object w:dxaOrig="1640" w:dyaOrig="360">
                <v:shape id="_x0000_i1035" type="#_x0000_t75" style="width:81.75pt;height:18pt" o:ole="">
                  <v:imagedata r:id="rId22" o:title=""/>
                </v:shape>
                <o:OLEObject Type="Embed" ProgID="Equation.3" ShapeID="_x0000_i1035" DrawAspect="Content" ObjectID="_1470588330" r:id="rId23"/>
              </w:object>
            </w:r>
            <w:r w:rsidRPr="00191F0E">
              <w:rPr>
                <w:rFonts w:ascii="Cambria Math" w:hAnsi="Cambria Math"/>
              </w:rPr>
              <w:t> : compléter le carré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0571EF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#1 – 6</w:t>
            </w:r>
          </w:p>
          <w:p w:rsidR="000011AA" w:rsidRPr="00191F0E" w:rsidRDefault="000011AA" w:rsidP="000571EF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Feuilles</w:t>
            </w:r>
          </w:p>
        </w:tc>
      </w:tr>
      <w:tr w:rsidR="000011AA" w:rsidRPr="00191F0E" w:rsidTr="000011AA">
        <w:trPr>
          <w:trHeight w:val="510"/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0011AA" w:rsidRPr="00191F0E" w:rsidRDefault="000011AA" w:rsidP="000011A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4.6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011AA" w:rsidRPr="00191F0E" w:rsidRDefault="000011AA" w:rsidP="001F0BCA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Exploration: Les premières et deuxièmes différences</w:t>
            </w:r>
          </w:p>
        </w:tc>
        <w:tc>
          <w:tcPr>
            <w:tcW w:w="3300" w:type="dxa"/>
            <w:shd w:val="clear" w:color="auto" w:fill="auto"/>
            <w:vAlign w:val="center"/>
          </w:tcPr>
          <w:p w:rsidR="000011AA" w:rsidRPr="00191F0E" w:rsidRDefault="000011AA" w:rsidP="0072289F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>#1 – 5</w:t>
            </w:r>
          </w:p>
        </w:tc>
      </w:tr>
    </w:tbl>
    <w:p w:rsidR="00CB01D8" w:rsidRPr="00191F0E" w:rsidRDefault="00CB01D8" w:rsidP="00CB01D8">
      <w:pPr>
        <w:rPr>
          <w:rFonts w:ascii="Cambria Math" w:hAnsi="Cambria Math"/>
          <w:sz w:val="28"/>
          <w:szCs w:val="28"/>
        </w:rPr>
      </w:pPr>
    </w:p>
    <w:p w:rsidR="00191F0E" w:rsidRPr="00191F0E" w:rsidRDefault="00191F0E" w:rsidP="00191F0E">
      <w:pPr>
        <w:outlineLvl w:val="0"/>
        <w:rPr>
          <w:rFonts w:ascii="Cambria Math" w:hAnsi="Cambria Math"/>
          <w:b/>
          <w:sz w:val="28"/>
          <w:szCs w:val="28"/>
        </w:rPr>
      </w:pPr>
      <w:r w:rsidRPr="00191F0E">
        <w:rPr>
          <w:rFonts w:ascii="Cambria Math" w:hAnsi="Cambria Math"/>
          <w:b/>
          <w:sz w:val="28"/>
          <w:szCs w:val="28"/>
        </w:rPr>
        <w:t>Évaluation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191F0E" w:rsidRPr="00191F0E" w:rsidTr="000C6837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191F0E" w:rsidRPr="00191F0E" w:rsidRDefault="00191F0E" w:rsidP="000C6837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191F0E" w:rsidRPr="00191F0E" w:rsidRDefault="00191F0E" w:rsidP="000C6837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Dates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191F0E" w:rsidRPr="00191F0E" w:rsidRDefault="00191F0E" w:rsidP="000C6837">
            <w:pPr>
              <w:jc w:val="center"/>
              <w:rPr>
                <w:rFonts w:ascii="Cambria Math" w:hAnsi="Cambria Math"/>
                <w:b/>
              </w:rPr>
            </w:pPr>
            <w:r w:rsidRPr="00191F0E">
              <w:rPr>
                <w:rFonts w:ascii="Cambria Math" w:hAnsi="Cambria Math"/>
                <w:b/>
              </w:rPr>
              <w:t>Notes</w:t>
            </w:r>
          </w:p>
        </w:tc>
      </w:tr>
      <w:tr w:rsidR="00191F0E" w:rsidRPr="00191F0E" w:rsidTr="000C6837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191F0E" w:rsidRDefault="00191F0E" w:rsidP="00191F0E">
            <w:pPr>
              <w:jc w:val="center"/>
              <w:rPr>
                <w:rFonts w:ascii="Cambria Math" w:hAnsi="Cambria Math"/>
              </w:rPr>
            </w:pPr>
            <w:r w:rsidRPr="00191F0E">
              <w:rPr>
                <w:rFonts w:ascii="Cambria Math" w:hAnsi="Cambria Math"/>
              </w:rPr>
              <w:t xml:space="preserve">Quiz – </w:t>
            </w:r>
            <w:r w:rsidR="00114B1D">
              <w:rPr>
                <w:rFonts w:ascii="Cambria Math" w:hAnsi="Cambria Math"/>
              </w:rPr>
              <w:t>les paraboles</w:t>
            </w:r>
          </w:p>
          <w:p w:rsidR="00114B1D" w:rsidRDefault="00114B1D" w:rsidP="00191F0E">
            <w:pPr>
              <w:jc w:val="center"/>
              <w:rPr>
                <w:rFonts w:ascii="Cambria Math" w:hAnsi="Cambria Math"/>
              </w:rPr>
            </w:pPr>
          </w:p>
          <w:p w:rsidR="00114B1D" w:rsidRPr="00191F0E" w:rsidRDefault="00114B1D" w:rsidP="00191F0E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– compléter le carré</w:t>
            </w:r>
          </w:p>
          <w:p w:rsidR="00191F0E" w:rsidRPr="00191F0E" w:rsidRDefault="00191F0E" w:rsidP="000C6837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191F0E" w:rsidRDefault="004714EB" w:rsidP="000C6837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mercredi 12 novembre</w:t>
            </w:r>
          </w:p>
          <w:p w:rsidR="00114B1D" w:rsidRDefault="00114B1D" w:rsidP="000C6837">
            <w:pPr>
              <w:jc w:val="center"/>
              <w:rPr>
                <w:rFonts w:ascii="Cambria Math" w:hAnsi="Cambria Math"/>
              </w:rPr>
            </w:pPr>
          </w:p>
          <w:p w:rsidR="00114B1D" w:rsidRPr="00191F0E" w:rsidRDefault="004714EB" w:rsidP="000C6837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lundi 17 novembre</w:t>
            </w:r>
          </w:p>
        </w:tc>
        <w:tc>
          <w:tcPr>
            <w:tcW w:w="2986" w:type="dxa"/>
            <w:shd w:val="clear" w:color="auto" w:fill="auto"/>
          </w:tcPr>
          <w:p w:rsidR="00191F0E" w:rsidRPr="00191F0E" w:rsidRDefault="00191F0E" w:rsidP="000C6837">
            <w:pPr>
              <w:rPr>
                <w:rFonts w:ascii="Cambria Math" w:hAnsi="Cambria Math"/>
              </w:rPr>
            </w:pPr>
          </w:p>
          <w:p w:rsidR="00191F0E" w:rsidRPr="00191F0E" w:rsidRDefault="00191F0E" w:rsidP="000C6837">
            <w:pPr>
              <w:rPr>
                <w:rFonts w:ascii="Cambria Math" w:hAnsi="Cambria Math"/>
              </w:rPr>
            </w:pPr>
          </w:p>
        </w:tc>
      </w:tr>
      <w:tr w:rsidR="00191F0E" w:rsidRPr="00191F0E" w:rsidTr="000C6837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4714EB" w:rsidRPr="00191F0E" w:rsidRDefault="004714EB" w:rsidP="004714EB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Test d’unité</w:t>
            </w:r>
            <w:bookmarkStart w:id="0" w:name="_GoBack"/>
            <w:bookmarkEnd w:id="0"/>
          </w:p>
          <w:p w:rsidR="00191F0E" w:rsidRPr="00191F0E" w:rsidRDefault="00191F0E" w:rsidP="00DF06B8">
            <w:pPr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191F0E" w:rsidRPr="00191F0E" w:rsidRDefault="004714EB" w:rsidP="00B26F45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jeudi 20 novembre</w:t>
            </w:r>
          </w:p>
        </w:tc>
        <w:tc>
          <w:tcPr>
            <w:tcW w:w="2986" w:type="dxa"/>
            <w:shd w:val="clear" w:color="auto" w:fill="auto"/>
          </w:tcPr>
          <w:p w:rsidR="00191F0E" w:rsidRPr="00191F0E" w:rsidRDefault="00191F0E" w:rsidP="000C6837">
            <w:pPr>
              <w:rPr>
                <w:rFonts w:ascii="Cambria Math" w:hAnsi="Cambria Math"/>
              </w:rPr>
            </w:pPr>
          </w:p>
        </w:tc>
      </w:tr>
    </w:tbl>
    <w:p w:rsidR="00191F0E" w:rsidRPr="00191F0E" w:rsidRDefault="00191F0E" w:rsidP="00CB01D8">
      <w:pPr>
        <w:rPr>
          <w:rFonts w:ascii="Cambria Math" w:hAnsi="Cambria Math"/>
          <w:sz w:val="28"/>
          <w:szCs w:val="28"/>
        </w:rPr>
      </w:pPr>
    </w:p>
    <w:sectPr w:rsidR="00191F0E" w:rsidRPr="00191F0E" w:rsidSect="00191F0E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7D6"/>
    <w:multiLevelType w:val="hybridMultilevel"/>
    <w:tmpl w:val="AC84A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011AA"/>
    <w:rsid w:val="000571EF"/>
    <w:rsid w:val="00057444"/>
    <w:rsid w:val="000B3956"/>
    <w:rsid w:val="000E05B2"/>
    <w:rsid w:val="00114B1D"/>
    <w:rsid w:val="00122B8D"/>
    <w:rsid w:val="001879F0"/>
    <w:rsid w:val="00191205"/>
    <w:rsid w:val="00191F0E"/>
    <w:rsid w:val="001F0BCA"/>
    <w:rsid w:val="002C11B8"/>
    <w:rsid w:val="002C3074"/>
    <w:rsid w:val="00312187"/>
    <w:rsid w:val="0038139A"/>
    <w:rsid w:val="004714EB"/>
    <w:rsid w:val="004857D9"/>
    <w:rsid w:val="00491379"/>
    <w:rsid w:val="004C7CD9"/>
    <w:rsid w:val="004D1C73"/>
    <w:rsid w:val="004E763B"/>
    <w:rsid w:val="00523E1C"/>
    <w:rsid w:val="006244C5"/>
    <w:rsid w:val="006E7E6A"/>
    <w:rsid w:val="0072289F"/>
    <w:rsid w:val="007679C2"/>
    <w:rsid w:val="007B19AB"/>
    <w:rsid w:val="007D1FF2"/>
    <w:rsid w:val="0081265F"/>
    <w:rsid w:val="00823B88"/>
    <w:rsid w:val="00850863"/>
    <w:rsid w:val="008B3863"/>
    <w:rsid w:val="00992C62"/>
    <w:rsid w:val="00A07A92"/>
    <w:rsid w:val="00A7445A"/>
    <w:rsid w:val="00AA0930"/>
    <w:rsid w:val="00B042FA"/>
    <w:rsid w:val="00B26F45"/>
    <w:rsid w:val="00B719D9"/>
    <w:rsid w:val="00B750D5"/>
    <w:rsid w:val="00B92922"/>
    <w:rsid w:val="00BA61F1"/>
    <w:rsid w:val="00BB5D61"/>
    <w:rsid w:val="00BD15F8"/>
    <w:rsid w:val="00BD2755"/>
    <w:rsid w:val="00C1607D"/>
    <w:rsid w:val="00C405BC"/>
    <w:rsid w:val="00C71807"/>
    <w:rsid w:val="00CB01D8"/>
    <w:rsid w:val="00CE02A7"/>
    <w:rsid w:val="00D03EB5"/>
    <w:rsid w:val="00D5774C"/>
    <w:rsid w:val="00D80070"/>
    <w:rsid w:val="00DF06B8"/>
    <w:rsid w:val="00E932BA"/>
    <w:rsid w:val="00E972A3"/>
    <w:rsid w:val="00EA46D4"/>
    <w:rsid w:val="00EB604E"/>
    <w:rsid w:val="00ED673B"/>
    <w:rsid w:val="00F2644A"/>
    <w:rsid w:val="00F631F4"/>
    <w:rsid w:val="00F64F34"/>
    <w:rsid w:val="00F867C4"/>
    <w:rsid w:val="00F92FE1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0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7</cp:revision>
  <cp:lastPrinted>2009-08-28T14:51:00Z</cp:lastPrinted>
  <dcterms:created xsi:type="dcterms:W3CDTF">2013-08-29T15:31:00Z</dcterms:created>
  <dcterms:modified xsi:type="dcterms:W3CDTF">2014-08-26T23:58:00Z</dcterms:modified>
</cp:coreProperties>
</file>